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E35D5C" w:rsidRDefault="003969D3" w:rsidP="003969D3">
      <w:pPr>
        <w:keepNext/>
        <w:keepLines/>
        <w:spacing w:before="120" w:after="0" w:line="240" w:lineRule="auto"/>
        <w:ind w:left="5103"/>
        <w:jc w:val="right"/>
        <w:outlineLvl w:val="1"/>
        <w:rPr>
          <w:rFonts w:ascii="Tahoma" w:eastAsia="Calibri" w:hAnsi="Tahoma" w:cs="Tahoma"/>
          <w:color w:val="000000" w:themeColor="text1"/>
          <w:sz w:val="22"/>
          <w:szCs w:val="22"/>
        </w:rPr>
      </w:pPr>
      <w:bookmarkStart w:id="0" w:name="_Ref38285444"/>
      <w:bookmarkStart w:id="1" w:name="_Ref38291496"/>
      <w:bookmarkStart w:id="2" w:name="_Toc126333941"/>
      <w:r w:rsidRPr="00E35D5C">
        <w:rPr>
          <w:rFonts w:ascii="Tahoma" w:eastAsia="Calibri" w:hAnsi="Tahoma" w:cs="Tahoma"/>
          <w:color w:val="000000" w:themeColor="tex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NoSpacing"/>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NoSpacing"/>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yperlink"/>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w:t>
      </w:r>
      <w:r w:rsidRPr="00651D18">
        <w:rPr>
          <w:rFonts w:ascii="Tahoma" w:hAnsi="Tahoma" w:cs="Tahoma"/>
          <w:sz w:val="22"/>
          <w:szCs w:val="22"/>
        </w:rPr>
        <w:t>informacija 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NoSpacing"/>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NoSpacing"/>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NoSpacing"/>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NoSpacing"/>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NoSpacing"/>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NoSpacing"/>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NoSpacing"/>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NoSpacing"/>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NoSpacing"/>
              <w:jc w:val="both"/>
              <w:rPr>
                <w:rFonts w:ascii="Tahoma" w:hAnsi="Tahoma" w:cs="Tahoma"/>
                <w:b/>
                <w:bCs/>
                <w:sz w:val="22"/>
                <w:szCs w:val="22"/>
                <w:lang w:eastAsia="en-US"/>
              </w:rPr>
            </w:pPr>
          </w:p>
          <w:p w14:paraId="6913E1CF" w14:textId="77777777"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NoSpacing"/>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444262" w:rsidR="00F56357" w:rsidRPr="00CE53DE" w:rsidRDefault="00805F54" w:rsidP="00290CC0">
            <w:pPr>
              <w:pStyle w:val="NoSpacing"/>
              <w:jc w:val="both"/>
              <w:rPr>
                <w:rFonts w:ascii="Tahoma" w:hAnsi="Tahoma" w:cs="Tahoma"/>
                <w:sz w:val="22"/>
                <w:szCs w:val="22"/>
                <w:lang w:eastAsia="en-US"/>
              </w:rPr>
            </w:pPr>
            <w:r w:rsidRPr="00107863">
              <w:rPr>
                <w:rFonts w:ascii="Tahoma" w:hAnsi="Tahoma" w:cs="Tahoma"/>
                <w:sz w:val="22"/>
                <w:szCs w:val="22"/>
                <w:lang w:eastAsia="en-US"/>
              </w:rPr>
              <w:t xml:space="preserve">2) </w:t>
            </w:r>
            <w:r w:rsidR="00CE53DE" w:rsidRPr="00CE53DE">
              <w:rPr>
                <w:rFonts w:ascii="Tahoma" w:hAnsi="Tahoma" w:cs="Tahoma"/>
                <w:sz w:val="22"/>
                <w:szCs w:val="22"/>
              </w:rPr>
              <w:t>tiekėjo, kuris yra juridinis asmuo, kita organizacija ar jos </w:t>
            </w:r>
            <w:r w:rsidR="00CE53DE" w:rsidRPr="00CE53DE">
              <w:rPr>
                <w:rFonts w:ascii="Tahoma" w:hAnsi="Tahoma" w:cs="Tahoma"/>
                <w:b/>
                <w:bCs/>
                <w:sz w:val="22"/>
                <w:szCs w:val="22"/>
              </w:rPr>
              <w:t>struktūrinis</w:t>
            </w:r>
            <w:r w:rsidR="00CE53DE" w:rsidRPr="00CE53DE">
              <w:rPr>
                <w:rFonts w:ascii="Tahoma" w:hAnsi="Tahoma" w:cs="Tahom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per pastaruosius 5 metus buvo priimtas ir įsiteisėjęs apkaltinamasis teismo nuosprendis ir šis asmuo turi neišnykusį ar nepanaikintą teistumą</w:t>
            </w:r>
            <w:r w:rsidRPr="00CE53DE">
              <w:rPr>
                <w:rFonts w:ascii="Tahoma" w:hAnsi="Tahoma" w:cs="Tahoma"/>
                <w:sz w:val="22"/>
                <w:szCs w:val="22"/>
                <w:lang w:eastAsia="en-US"/>
              </w:rPr>
              <w:t>;</w:t>
            </w:r>
          </w:p>
          <w:p w14:paraId="680A8795" w14:textId="5DA5A338" w:rsidR="00805F54" w:rsidRPr="00107863" w:rsidRDefault="00805F54" w:rsidP="00290CC0">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3) </w:t>
            </w:r>
            <w:r w:rsidR="00CE53DE" w:rsidRPr="00CE53DE">
              <w:rPr>
                <w:rFonts w:ascii="Tahoma" w:hAnsi="Tahoma" w:cs="Tahoma"/>
                <w:bCs/>
                <w:sz w:val="22"/>
                <w:szCs w:val="22"/>
                <w:lang w:eastAsia="en-US"/>
              </w:rPr>
              <w:t xml:space="preserve">tiekėjo, kuris yra juridinis asmuo, kita organizacija ar jos </w:t>
            </w:r>
            <w:r w:rsidR="00CE53DE" w:rsidRPr="00CE53DE">
              <w:rPr>
                <w:rFonts w:ascii="Tahoma" w:hAnsi="Tahoma" w:cs="Tahoma"/>
                <w:b/>
                <w:sz w:val="22"/>
                <w:szCs w:val="22"/>
                <w:lang w:eastAsia="en-US"/>
              </w:rPr>
              <w:t>struktūrinis</w:t>
            </w:r>
            <w:r w:rsidR="00CE53DE" w:rsidRPr="00CE53DE">
              <w:rPr>
                <w:rFonts w:ascii="Tahoma" w:hAnsi="Tahoma" w:cs="Tahoma"/>
                <w:bCs/>
                <w:sz w:val="22"/>
                <w:szCs w:val="22"/>
                <w:lang w:eastAsia="en-US"/>
              </w:rPr>
              <w:t xml:space="preserve"> padalinys, per pastaruosius 5 metus buvo priimtas ir įsiteisėjęs apkaltinamasis teismo nuosprendis arba VPĮ 46 </w:t>
            </w:r>
            <w:r w:rsidR="00CE53DE" w:rsidRPr="00CE53DE">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r w:rsidRPr="00CE53DE">
              <w:rPr>
                <w:rFonts w:ascii="Tahoma" w:hAnsi="Tahoma" w:cs="Tahoma"/>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NoSpacing"/>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NoSpacing"/>
              <w:jc w:val="both"/>
              <w:rPr>
                <w:rFonts w:ascii="Tahoma" w:eastAsia="Yu Mincho" w:hAnsi="Tahoma" w:cs="Tahoma"/>
                <w:sz w:val="22"/>
                <w:szCs w:val="22"/>
                <w:lang w:eastAsia="en-US"/>
              </w:rPr>
            </w:pPr>
          </w:p>
          <w:p w14:paraId="2F16B890" w14:textId="38576DA8" w:rsidR="00805F54"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NoSpacing"/>
              <w:jc w:val="both"/>
              <w:rPr>
                <w:rFonts w:ascii="Tahoma" w:eastAsia="Yu Mincho" w:hAnsi="Tahoma" w:cs="Tahoma"/>
                <w:sz w:val="22"/>
                <w:szCs w:val="22"/>
                <w:lang w:eastAsia="en-US"/>
              </w:rPr>
            </w:pPr>
          </w:p>
          <w:p w14:paraId="568DCC81" w14:textId="75ED702F" w:rsidR="00B548E2" w:rsidRPr="00107863" w:rsidRDefault="001E687D" w:rsidP="001C3EF8">
            <w:pPr>
              <w:pStyle w:val="NoSpacing"/>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NoSpacing"/>
              <w:jc w:val="both"/>
              <w:rPr>
                <w:rFonts w:ascii="Tahoma" w:hAnsi="Tahoma" w:cs="Tahoma"/>
                <w:sz w:val="22"/>
                <w:szCs w:val="22"/>
                <w:lang w:eastAsia="en-US"/>
              </w:rPr>
            </w:pPr>
          </w:p>
          <w:p w14:paraId="3112119A" w14:textId="1ABAB7B7" w:rsidR="00275429" w:rsidRPr="00107863" w:rsidRDefault="00275429" w:rsidP="00275429">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FootnoteReference"/>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NoSpacing"/>
              <w:jc w:val="both"/>
              <w:rPr>
                <w:rFonts w:ascii="Tahoma" w:hAnsi="Tahoma" w:cs="Tahoma"/>
                <w:sz w:val="22"/>
                <w:szCs w:val="22"/>
              </w:rPr>
            </w:pPr>
          </w:p>
          <w:p w14:paraId="78C525C1" w14:textId="2FFD3076" w:rsidR="00805F54" w:rsidRPr="00107863" w:rsidRDefault="00275429" w:rsidP="001C3EF8">
            <w:pPr>
              <w:pStyle w:val="NoSpacing"/>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Jeigu perkančioji organizacija 2022-10-10 kreipėsi į tiekėją prašydama iki 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w:t>
            </w:r>
            <w:r w:rsidR="00447215" w:rsidRPr="00107863">
              <w:rPr>
                <w:rFonts w:ascii="Tahoma" w:hAnsi="Tahoma" w:cs="Tahoma"/>
                <w:i/>
                <w:iCs/>
                <w:sz w:val="22"/>
                <w:szCs w:val="22"/>
              </w:rPr>
              <w:lastRenderedPageBreak/>
              <w:t>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NoSpacing"/>
              <w:jc w:val="both"/>
              <w:rPr>
                <w:rFonts w:ascii="Tahoma" w:hAnsi="Tahoma" w:cs="Tahoma"/>
                <w:b/>
                <w:bCs/>
                <w:sz w:val="22"/>
                <w:szCs w:val="22"/>
              </w:rPr>
            </w:pPr>
          </w:p>
          <w:p w14:paraId="5CA0D7F4" w14:textId="79381260" w:rsidR="00805F54" w:rsidRPr="00107863" w:rsidRDefault="00805F54" w:rsidP="00AF4EAC">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NoSpacing"/>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NoSpacing"/>
              <w:jc w:val="both"/>
              <w:rPr>
                <w:rFonts w:ascii="Tahoma" w:eastAsia="Yu Mincho" w:hAnsi="Tahoma" w:cs="Tahoma"/>
                <w:b/>
                <w:bCs/>
                <w:sz w:val="22"/>
                <w:szCs w:val="22"/>
              </w:rPr>
            </w:pPr>
          </w:p>
          <w:p w14:paraId="7B27BB28" w14:textId="00F0CA23" w:rsidR="00826518" w:rsidRPr="00826518" w:rsidRDefault="00826518" w:rsidP="00826518">
            <w:pPr>
              <w:pStyle w:val="NoSpacing"/>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NoSpacing"/>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NoSpacing"/>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NoSpacing"/>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NoSpacing"/>
              <w:jc w:val="both"/>
              <w:rPr>
                <w:rFonts w:ascii="Tahoma" w:hAnsi="Tahoma" w:cs="Tahoma"/>
                <w:b/>
                <w:bCs/>
                <w:sz w:val="22"/>
                <w:szCs w:val="22"/>
                <w:lang w:eastAsia="en-US"/>
              </w:rPr>
            </w:pPr>
          </w:p>
          <w:p w14:paraId="3E7AE0B6" w14:textId="1F38E2D4"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3F38653A" w14:textId="77777777" w:rsidR="00986446" w:rsidRPr="00986446" w:rsidRDefault="00826518" w:rsidP="00986446">
            <w:pPr>
              <w:pStyle w:val="NoSpacing"/>
              <w:jc w:val="both"/>
              <w:rPr>
                <w:rFonts w:ascii="Tahoma" w:hAnsi="Tahoma" w:cs="Tahoma"/>
                <w:b/>
                <w:bCs/>
                <w:sz w:val="22"/>
                <w:szCs w:val="22"/>
                <w:lang w:eastAsia="en-US"/>
              </w:rPr>
            </w:pPr>
            <w:r w:rsidRPr="00107863">
              <w:rPr>
                <w:rFonts w:ascii="Tahoma" w:hAnsi="Tahoma" w:cs="Tahoma"/>
                <w:bCs/>
                <w:sz w:val="22"/>
                <w:szCs w:val="22"/>
                <w:lang w:eastAsia="en-US"/>
              </w:rPr>
              <w:t xml:space="preserve">2) </w:t>
            </w:r>
            <w:r w:rsidR="00986446" w:rsidRPr="00986446">
              <w:rPr>
                <w:rFonts w:ascii="Tahoma" w:hAnsi="Tahoma" w:cs="Tahoma"/>
                <w:bCs/>
                <w:sz w:val="22"/>
                <w:szCs w:val="22"/>
                <w:lang w:eastAsia="en-US"/>
              </w:rPr>
              <w:t xml:space="preserve">tiekėjo, kuris yra juridinis asmuo, kita organizacija ar jos </w:t>
            </w:r>
            <w:r w:rsidR="00986446" w:rsidRPr="00986446">
              <w:rPr>
                <w:rFonts w:ascii="Tahoma" w:hAnsi="Tahoma" w:cs="Tahoma"/>
                <w:b/>
                <w:sz w:val="22"/>
                <w:szCs w:val="22"/>
                <w:lang w:eastAsia="en-US"/>
              </w:rPr>
              <w:t>struktūrinis</w:t>
            </w:r>
            <w:r w:rsidR="00986446" w:rsidRPr="00986446">
              <w:rPr>
                <w:rFonts w:ascii="Tahoma" w:hAnsi="Tahoma" w:cs="Tahoma"/>
                <w:bCs/>
                <w:sz w:val="22"/>
                <w:szCs w:val="22"/>
                <w:lang w:eastAsia="en-US"/>
              </w:rPr>
              <w:t xml:space="preserve"> padalinys, per pastaruosius 5 metus buvo priimtas ir įsiteisėjęs apkaltinamasis teismo nuosprendis arba VPĮ 46 </w:t>
            </w:r>
            <w:r w:rsidR="00986446" w:rsidRPr="00986446">
              <w:rPr>
                <w:rFonts w:ascii="Tahoma" w:hAnsi="Tahoma" w:cs="Tahoma"/>
                <w:bCs/>
                <w:sz w:val="22"/>
                <w:szCs w:val="22"/>
                <w:lang w:eastAsia="en-US"/>
              </w:rPr>
              <w:lastRenderedPageBreak/>
              <w:t>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NoSpacing"/>
              <w:jc w:val="both"/>
              <w:rPr>
                <w:rFonts w:ascii="Tahoma" w:hAnsi="Tahoma" w:cs="Tahoma"/>
                <w:b/>
                <w:bCs/>
                <w:sz w:val="22"/>
                <w:szCs w:val="22"/>
                <w:lang w:eastAsia="en-US"/>
              </w:rPr>
            </w:pPr>
          </w:p>
          <w:p w14:paraId="3AF7173D"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NoSpacing"/>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NoSpacing"/>
              <w:jc w:val="both"/>
              <w:rPr>
                <w:rFonts w:ascii="Tahoma" w:eastAsia="Arial" w:hAnsi="Tahoma" w:cs="Tahoma"/>
                <w:sz w:val="22"/>
                <w:szCs w:val="22"/>
              </w:rPr>
            </w:pPr>
          </w:p>
          <w:p w14:paraId="3A790964" w14:textId="5EC51D0A" w:rsidR="00826518" w:rsidRPr="00107863" w:rsidRDefault="00826518" w:rsidP="00826518">
            <w:pPr>
              <w:pStyle w:val="NoSpacing"/>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2A446" w14:textId="77777777" w:rsidR="00CE53DE" w:rsidRDefault="00CE53DE" w:rsidP="00826518">
            <w:pPr>
              <w:pStyle w:val="NoSpacing"/>
              <w:jc w:val="both"/>
              <w:rPr>
                <w:rFonts w:ascii="Tahoma" w:hAnsi="Tahoma" w:cs="Tahoma"/>
                <w:sz w:val="22"/>
                <w:szCs w:val="22"/>
              </w:rPr>
            </w:pPr>
            <w:r>
              <w:rPr>
                <w:rFonts w:ascii="Tahoma" w:hAnsi="Tahoma" w:cs="Tahoma"/>
                <w:sz w:val="22"/>
                <w:szCs w:val="22"/>
              </w:rPr>
              <w:t>I</w:t>
            </w:r>
            <w:r w:rsidRPr="00107863">
              <w:rPr>
                <w:rFonts w:ascii="Tahoma" w:hAnsi="Tahoma" w:cs="Tahoma"/>
                <w:sz w:val="22"/>
                <w:szCs w:val="22"/>
                <w:lang w:eastAsia="en-US"/>
              </w:rPr>
              <w:t xml:space="preserve">š Lietuvoje įsteigtų subjektų </w:t>
            </w:r>
            <w:r>
              <w:rPr>
                <w:rFonts w:ascii="Tahoma" w:hAnsi="Tahoma" w:cs="Tahoma"/>
                <w:sz w:val="22"/>
                <w:szCs w:val="22"/>
              </w:rPr>
              <w:t>reikalaujama:</w:t>
            </w:r>
          </w:p>
          <w:p w14:paraId="3C2B78BF" w14:textId="5B84FEE6"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NoSpacing"/>
              <w:jc w:val="both"/>
              <w:rPr>
                <w:rFonts w:ascii="Tahoma" w:hAnsi="Tahoma" w:cs="Tahoma"/>
                <w:b/>
                <w:bCs/>
                <w:sz w:val="22"/>
                <w:szCs w:val="22"/>
              </w:rPr>
            </w:pPr>
          </w:p>
          <w:p w14:paraId="78EE69C1" w14:textId="77777777" w:rsidR="00CE53DE"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 xml:space="preserve">išrašo iš teismo sprendimo (jei toks yra) </w:t>
            </w:r>
          </w:p>
          <w:p w14:paraId="5B77C66C" w14:textId="3F1DE531" w:rsidR="00826518" w:rsidRPr="00107863" w:rsidRDefault="00826518" w:rsidP="00826518">
            <w:pPr>
              <w:pStyle w:val="NoSpacing"/>
              <w:numPr>
                <w:ilvl w:val="0"/>
                <w:numId w:val="3"/>
              </w:numPr>
              <w:jc w:val="both"/>
              <w:rPr>
                <w:rFonts w:ascii="Tahoma" w:hAnsi="Tahoma" w:cs="Tahoma"/>
                <w:sz w:val="22"/>
                <w:szCs w:val="22"/>
              </w:rPr>
            </w:pPr>
            <w:r w:rsidRPr="00107863">
              <w:rPr>
                <w:rFonts w:ascii="Tahoma" w:hAnsi="Tahoma" w:cs="Tahoma"/>
                <w:sz w:val="22"/>
                <w:szCs w:val="22"/>
              </w:rPr>
              <w:t>arba Valstybinės mokesčių inspekcijos prie Lietuvos Respublikos finansų ministerijos išduoto dokumento,</w:t>
            </w:r>
          </w:p>
          <w:p w14:paraId="6AC40F0D" w14:textId="1F18153C" w:rsidR="00826518" w:rsidRPr="00107863" w:rsidRDefault="00826518" w:rsidP="00826518">
            <w:pPr>
              <w:pStyle w:val="NoSpacing"/>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NoSpacing"/>
              <w:jc w:val="both"/>
              <w:rPr>
                <w:rFonts w:ascii="Tahoma" w:hAnsi="Tahoma" w:cs="Tahoma"/>
                <w:sz w:val="22"/>
                <w:szCs w:val="22"/>
              </w:rPr>
            </w:pPr>
          </w:p>
          <w:p w14:paraId="4EEEE929"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FootnoteReference"/>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NoSpacing"/>
              <w:jc w:val="both"/>
              <w:rPr>
                <w:rFonts w:ascii="Tahoma" w:eastAsia="Yu Mincho" w:hAnsi="Tahoma" w:cs="Tahoma"/>
                <w:sz w:val="22"/>
                <w:szCs w:val="22"/>
              </w:rPr>
            </w:pPr>
          </w:p>
          <w:p w14:paraId="0D468FA1" w14:textId="38E7ABEA"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prašymu turės pateikti pašalinimo pagrindų nebuvimą </w:t>
            </w:r>
            <w:r w:rsidRPr="00107863">
              <w:rPr>
                <w:rFonts w:ascii="Tahoma" w:eastAsia="Times New Roman" w:hAnsi="Tahoma" w:cs="Tahoma"/>
                <w:i/>
                <w:iCs/>
                <w:sz w:val="22"/>
                <w:szCs w:val="22"/>
              </w:rPr>
              <w:lastRenderedPageBreak/>
              <w:t>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NoSpacing"/>
              <w:jc w:val="both"/>
              <w:rPr>
                <w:rFonts w:ascii="Tahoma" w:hAnsi="Tahoma" w:cs="Tahoma"/>
                <w:i/>
                <w:iCs/>
                <w:sz w:val="22"/>
                <w:szCs w:val="22"/>
              </w:rPr>
            </w:pPr>
          </w:p>
          <w:p w14:paraId="6A81B2CB" w14:textId="77777777"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NoSpacing"/>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yperlink"/>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NoSpacing"/>
              <w:jc w:val="both"/>
              <w:rPr>
                <w:rFonts w:ascii="Tahoma" w:hAnsi="Tahoma" w:cs="Tahoma"/>
                <w:b/>
                <w:bCs/>
                <w:sz w:val="22"/>
                <w:szCs w:val="22"/>
              </w:rPr>
            </w:pPr>
          </w:p>
          <w:p w14:paraId="692A5F51" w14:textId="4BC191A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NoSpacing"/>
              <w:jc w:val="both"/>
              <w:rPr>
                <w:rFonts w:ascii="Tahoma" w:hAnsi="Tahoma" w:cs="Tahoma"/>
                <w:b/>
                <w:bCs/>
                <w:sz w:val="22"/>
                <w:szCs w:val="22"/>
              </w:rPr>
            </w:pPr>
          </w:p>
          <w:p w14:paraId="19979566" w14:textId="0BE2D688"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2.2) Jeigu tiekėjas yra fizinis asmuo, registruotas Lietuvos Respublikoje, jis pateikia išrašą iš teismo sprendimo (jei </w:t>
            </w:r>
            <w:r w:rsidRPr="00107863">
              <w:rPr>
                <w:rFonts w:ascii="Tahoma" w:hAnsi="Tahoma" w:cs="Tahoma"/>
                <w:sz w:val="22"/>
                <w:szCs w:val="22"/>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NoSpacing"/>
              <w:jc w:val="both"/>
              <w:rPr>
                <w:rFonts w:ascii="Tahoma" w:hAnsi="Tahoma" w:cs="Tahoma"/>
                <w:b/>
                <w:bCs/>
                <w:sz w:val="22"/>
                <w:szCs w:val="22"/>
              </w:rPr>
            </w:pPr>
          </w:p>
          <w:p w14:paraId="2D9C991E" w14:textId="77777777"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NoSpacing"/>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FootnoteReference"/>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NoSpacing"/>
              <w:jc w:val="both"/>
              <w:rPr>
                <w:rFonts w:ascii="Tahoma" w:hAnsi="Tahoma" w:cs="Tahoma"/>
                <w:b/>
                <w:bCs/>
                <w:sz w:val="22"/>
                <w:szCs w:val="22"/>
              </w:rPr>
            </w:pPr>
          </w:p>
          <w:p w14:paraId="1E49B92E" w14:textId="639285B8" w:rsidR="00826518" w:rsidRPr="00107863" w:rsidRDefault="00826518" w:rsidP="00826518">
            <w:pPr>
              <w:pStyle w:val="NoSpacing"/>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NoSpacing"/>
              <w:jc w:val="both"/>
              <w:rPr>
                <w:rFonts w:ascii="Tahoma" w:hAnsi="Tahoma" w:cs="Tahoma"/>
                <w:b/>
                <w:bCs/>
                <w:sz w:val="22"/>
                <w:szCs w:val="22"/>
              </w:rPr>
            </w:pPr>
          </w:p>
          <w:p w14:paraId="47C71B6E" w14:textId="1563191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NoSpacing"/>
              <w:jc w:val="both"/>
              <w:rPr>
                <w:rFonts w:ascii="Tahoma" w:eastAsia="Yu Mincho" w:hAnsi="Tahoma" w:cs="Tahoma"/>
                <w:sz w:val="22"/>
                <w:szCs w:val="22"/>
              </w:rPr>
            </w:pPr>
          </w:p>
          <w:p w14:paraId="35DF3CE9" w14:textId="3FC27070"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lastRenderedPageBreak/>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1DCE5D90" w14:textId="77777777" w:rsidR="00826518" w:rsidRPr="00107863" w:rsidRDefault="00826518" w:rsidP="00826518">
            <w:pPr>
              <w:pStyle w:val="NoSpacing"/>
              <w:jc w:val="both"/>
              <w:rPr>
                <w:rFonts w:ascii="Tahoma" w:hAnsi="Tahoma" w:cs="Tahoma"/>
                <w:bCs/>
                <w:iCs/>
                <w:sz w:val="22"/>
                <w:szCs w:val="22"/>
                <w:lang w:eastAsia="en-US"/>
              </w:rPr>
            </w:pPr>
          </w:p>
          <w:p w14:paraId="2C057A72" w14:textId="6B2AC537"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NoSpacing"/>
              <w:jc w:val="both"/>
              <w:rPr>
                <w:rFonts w:ascii="Tahoma" w:eastAsia="Yu Mincho" w:hAnsi="Tahoma" w:cs="Tahoma"/>
                <w:sz w:val="22"/>
                <w:szCs w:val="22"/>
              </w:rPr>
            </w:pPr>
          </w:p>
          <w:p w14:paraId="032CA815" w14:textId="102A6CE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NoSpacing"/>
              <w:jc w:val="both"/>
              <w:rPr>
                <w:rFonts w:ascii="Tahoma" w:hAnsi="Tahoma" w:cs="Tahoma"/>
                <w:bCs/>
                <w:iCs/>
                <w:sz w:val="22"/>
                <w:szCs w:val="22"/>
                <w:lang w:eastAsia="en-US"/>
              </w:rPr>
            </w:pPr>
          </w:p>
          <w:p w14:paraId="0C3B3CBA" w14:textId="50B715AF"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NoSpacing"/>
              <w:jc w:val="both"/>
              <w:rPr>
                <w:rFonts w:ascii="Tahoma" w:eastAsia="Yu Mincho" w:hAnsi="Tahoma" w:cs="Tahoma"/>
                <w:sz w:val="22"/>
                <w:szCs w:val="22"/>
              </w:rPr>
            </w:pPr>
          </w:p>
          <w:p w14:paraId="51237B56" w14:textId="3F0B990B"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107863">
              <w:rPr>
                <w:rFonts w:ascii="Tahoma" w:hAnsi="Tahoma" w:cs="Tahoma"/>
                <w:bCs/>
                <w:sz w:val="22"/>
                <w:szCs w:val="22"/>
              </w:rPr>
              <w:lastRenderedPageBreak/>
              <w:t xml:space="preserve">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NoSpacing"/>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NoSpacing"/>
              <w:jc w:val="both"/>
              <w:rPr>
                <w:rFonts w:ascii="Tahoma" w:eastAsia="Yu Mincho" w:hAnsi="Tahoma" w:cs="Tahoma"/>
                <w:sz w:val="22"/>
                <w:szCs w:val="22"/>
              </w:rPr>
            </w:pPr>
          </w:p>
          <w:p w14:paraId="13F3F88F" w14:textId="7D66946F"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NoSpacing"/>
              <w:jc w:val="both"/>
              <w:rPr>
                <w:rFonts w:ascii="Tahoma" w:hAnsi="Tahoma" w:cs="Tahoma"/>
                <w:bCs/>
                <w:iCs/>
                <w:sz w:val="22"/>
                <w:szCs w:val="22"/>
                <w:lang w:eastAsia="en-US"/>
              </w:rPr>
            </w:pPr>
          </w:p>
          <w:p w14:paraId="3CD26747" w14:textId="77777777" w:rsidR="00826518" w:rsidRPr="00107863" w:rsidRDefault="00826518" w:rsidP="00826518">
            <w:pPr>
              <w:pStyle w:val="NoSpacing"/>
              <w:jc w:val="both"/>
              <w:rPr>
                <w:rFonts w:ascii="Tahoma" w:hAnsi="Tahoma" w:cs="Tahoma"/>
                <w:bCs/>
                <w:iCs/>
                <w:sz w:val="22"/>
                <w:szCs w:val="22"/>
                <w:lang w:eastAsia="en-US"/>
              </w:rPr>
            </w:pPr>
          </w:p>
          <w:p w14:paraId="33AC8C4B" w14:textId="33712722" w:rsidR="00826518" w:rsidRPr="00107863"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NoSpacing"/>
              <w:jc w:val="both"/>
              <w:rPr>
                <w:rFonts w:ascii="Tahoma" w:hAnsi="Tahoma" w:cs="Tahoma"/>
                <w:b/>
                <w:bCs/>
                <w:sz w:val="22"/>
                <w:szCs w:val="22"/>
              </w:rPr>
            </w:pPr>
          </w:p>
          <w:p w14:paraId="73188CF2" w14:textId="69AD1F7A" w:rsidR="00826518" w:rsidRPr="009F5F37" w:rsidRDefault="00826518" w:rsidP="00826518">
            <w:pPr>
              <w:pStyle w:val="NoSpacing"/>
              <w:jc w:val="both"/>
              <w:rPr>
                <w:rFonts w:ascii="Tahoma" w:hAnsi="Tahoma" w:cs="Tahoma"/>
                <w:sz w:val="22"/>
                <w:szCs w:val="22"/>
              </w:rPr>
            </w:pPr>
            <w:r w:rsidRPr="009F5F37">
              <w:rPr>
                <w:rFonts w:ascii="Tahoma" w:hAnsi="Tahoma" w:cs="Tahoma"/>
                <w:sz w:val="22"/>
                <w:szCs w:val="22"/>
              </w:rPr>
              <w:t>https://vpt.lrv.lt/lt/nuorodos/kiti-duomenys/powerbi/melaginga-informacija-pateikusiu-tiekeju-sarasas-3/</w:t>
            </w:r>
          </w:p>
          <w:p w14:paraId="18429F57" w14:textId="500BE337" w:rsidR="00826518" w:rsidRPr="00107863" w:rsidRDefault="00826518" w:rsidP="00826518">
            <w:pPr>
              <w:pStyle w:val="NoSpacing"/>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NoSpacing"/>
              <w:jc w:val="both"/>
              <w:rPr>
                <w:rFonts w:ascii="Tahoma" w:eastAsia="Yu Mincho" w:hAnsi="Tahoma" w:cs="Tahoma"/>
                <w:sz w:val="22"/>
                <w:szCs w:val="22"/>
              </w:rPr>
            </w:pPr>
          </w:p>
          <w:p w14:paraId="13E41BB7" w14:textId="480008D4"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NoSpacing"/>
              <w:jc w:val="both"/>
              <w:rPr>
                <w:rFonts w:ascii="Tahoma" w:eastAsia="Yu Mincho" w:hAnsi="Tahoma" w:cs="Tahoma"/>
                <w:sz w:val="22"/>
                <w:szCs w:val="22"/>
                <w:lang w:eastAsia="en-US"/>
              </w:rPr>
            </w:pPr>
          </w:p>
          <w:p w14:paraId="5477505E" w14:textId="412D8054"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NoSpacing"/>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NoSpacing"/>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07863">
              <w:rPr>
                <w:rFonts w:ascii="Tahoma" w:hAnsi="Tahoma" w:cs="Tahoma"/>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NoSpacing"/>
              <w:jc w:val="both"/>
              <w:rPr>
                <w:rFonts w:ascii="Tahoma" w:eastAsia="Yu Mincho" w:hAnsi="Tahoma" w:cs="Tahoma"/>
                <w:sz w:val="22"/>
                <w:szCs w:val="22"/>
              </w:rPr>
            </w:pPr>
          </w:p>
          <w:p w14:paraId="619A3DBC" w14:textId="6C7BDE5F"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NoSpacing"/>
              <w:jc w:val="both"/>
              <w:rPr>
                <w:rFonts w:ascii="Tahoma" w:eastAsia="Yu Mincho" w:hAnsi="Tahoma" w:cs="Tahoma"/>
                <w:sz w:val="22"/>
                <w:szCs w:val="22"/>
                <w:lang w:eastAsia="en-US"/>
              </w:rPr>
            </w:pPr>
          </w:p>
          <w:p w14:paraId="01F165CA" w14:textId="5EB3DE32" w:rsidR="00826518" w:rsidRPr="00107863" w:rsidRDefault="00826518" w:rsidP="00826518">
            <w:pPr>
              <w:pStyle w:val="NoSpacing"/>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33BDE9CB" w14:textId="77777777" w:rsidR="00826518" w:rsidRPr="00107863" w:rsidRDefault="00826518" w:rsidP="00826518">
            <w:pPr>
              <w:pStyle w:val="NoSpacing"/>
              <w:jc w:val="both"/>
              <w:rPr>
                <w:rFonts w:ascii="Tahoma" w:hAnsi="Tahoma" w:cs="Tahoma"/>
                <w:bCs/>
                <w:iCs/>
                <w:sz w:val="22"/>
                <w:szCs w:val="22"/>
                <w:lang w:eastAsia="en-US"/>
              </w:rPr>
            </w:pPr>
          </w:p>
          <w:p w14:paraId="01131722" w14:textId="0AEAC441" w:rsidR="00826518" w:rsidRDefault="00826518" w:rsidP="00826518">
            <w:pPr>
              <w:pStyle w:val="NoSpacing"/>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https://vpt.lrv.lt/lt/nuorodos/kiti-duomenys/powerbi/nepatikimi-tiekejai-1/</w:t>
              </w:r>
            </w:hyperlink>
          </w:p>
          <w:p w14:paraId="3E182B1F" w14:textId="77777777" w:rsidR="00826518" w:rsidRPr="00E47F8B" w:rsidRDefault="00826518" w:rsidP="00826518">
            <w:pPr>
              <w:pStyle w:val="NoSpacing"/>
              <w:jc w:val="both"/>
              <w:rPr>
                <w:rFonts w:ascii="Verdana" w:hAnsi="Verdana"/>
                <w:sz w:val="22"/>
                <w:szCs w:val="22"/>
              </w:rPr>
            </w:pPr>
          </w:p>
          <w:p w14:paraId="403B193B" w14:textId="77777777" w:rsidR="00826518" w:rsidRPr="00E47F8B" w:rsidRDefault="00826518" w:rsidP="00826518">
            <w:pPr>
              <w:pStyle w:val="NoSpacing"/>
              <w:jc w:val="both"/>
              <w:rPr>
                <w:rFonts w:ascii="Verdana" w:hAnsi="Verdana"/>
                <w:sz w:val="22"/>
                <w:szCs w:val="22"/>
              </w:rPr>
            </w:pPr>
            <w:hyperlink r:id="rId14" w:history="1">
              <w:r w:rsidRPr="00E47F8B">
                <w:rPr>
                  <w:rStyle w:val="Hyperlink"/>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NoSpacing"/>
              <w:jc w:val="both"/>
              <w:rPr>
                <w:rFonts w:ascii="Tahoma" w:hAnsi="Tahoma" w:cs="Tahoma"/>
                <w:bCs/>
                <w:sz w:val="22"/>
                <w:szCs w:val="22"/>
              </w:rPr>
            </w:pPr>
          </w:p>
          <w:p w14:paraId="18FF6166" w14:textId="1B327A2D" w:rsidR="00826518" w:rsidRPr="00107863" w:rsidRDefault="00826518" w:rsidP="00826518">
            <w:pPr>
              <w:pStyle w:val="NoSpacing"/>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NoSpacing"/>
              <w:numPr>
                <w:ilvl w:val="0"/>
                <w:numId w:val="5"/>
              </w:numPr>
              <w:rPr>
                <w:rFonts w:ascii="Tahoma" w:hAnsi="Tahoma" w:cs="Tahoma"/>
                <w:sz w:val="22"/>
                <w:szCs w:val="22"/>
              </w:rPr>
            </w:pPr>
          </w:p>
          <w:p w14:paraId="284F2B80" w14:textId="075852A7" w:rsidR="00826518" w:rsidRPr="00107863" w:rsidRDefault="00826518" w:rsidP="00826518">
            <w:pPr>
              <w:pStyle w:val="NoSpacing"/>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NoSpacing"/>
              <w:jc w:val="both"/>
              <w:rPr>
                <w:rFonts w:ascii="Tahoma" w:eastAsia="Yu Mincho" w:hAnsi="Tahoma" w:cs="Tahoma"/>
                <w:sz w:val="22"/>
                <w:szCs w:val="22"/>
              </w:rPr>
            </w:pPr>
          </w:p>
          <w:p w14:paraId="1C178DE7" w14:textId="5F7E92F2" w:rsidR="00826518" w:rsidRPr="00107863" w:rsidRDefault="00826518" w:rsidP="00826518">
            <w:pPr>
              <w:pStyle w:val="NoSpacing"/>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NoSpacing"/>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NoSpacing"/>
              <w:jc w:val="both"/>
              <w:rPr>
                <w:rFonts w:ascii="Verdana" w:hAnsi="Verdana"/>
                <w:sz w:val="22"/>
                <w:szCs w:val="22"/>
              </w:rPr>
            </w:pPr>
            <w:hyperlink r:id="rId15" w:history="1">
              <w:r w:rsidRPr="00E47F8B">
                <w:rPr>
                  <w:rStyle w:val="Hyperlink"/>
                  <w:rFonts w:ascii="Verdana" w:hAnsi="Verdana"/>
                  <w:sz w:val="22"/>
                  <w:szCs w:val="22"/>
                  <w:u w:val="single"/>
                </w:rPr>
                <w:t>https://www.registrucentras.lt/jar/p/index.php</w:t>
              </w:r>
            </w:hyperlink>
          </w:p>
          <w:p w14:paraId="59EE5677" w14:textId="77777777" w:rsidR="00826518" w:rsidRPr="00E47F8B" w:rsidRDefault="00826518" w:rsidP="00826518">
            <w:pPr>
              <w:pStyle w:val="NoSpacing"/>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NoSpacing"/>
              <w:jc w:val="both"/>
              <w:rPr>
                <w:rStyle w:val="Hyperlink"/>
                <w:rFonts w:ascii="Verdana" w:hAnsi="Verdana"/>
                <w:sz w:val="22"/>
                <w:szCs w:val="22"/>
              </w:rPr>
            </w:pPr>
            <w:hyperlink r:id="rId16" w:history="1">
              <w:r w:rsidRPr="00E47F8B">
                <w:rPr>
                  <w:rStyle w:val="Hyperlink"/>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NoSpacing"/>
              <w:jc w:val="both"/>
              <w:rPr>
                <w:rFonts w:ascii="Verdana" w:hAnsi="Verdana"/>
                <w:sz w:val="22"/>
                <w:szCs w:val="22"/>
              </w:rPr>
            </w:pPr>
            <w:hyperlink r:id="rId17" w:tgtFrame="_blank" w:history="1">
              <w:r w:rsidRPr="00E47F8B">
                <w:rPr>
                  <w:rStyle w:val="Hyperlink"/>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NoSpacing"/>
              <w:jc w:val="both"/>
              <w:rPr>
                <w:rFonts w:ascii="Tahoma" w:eastAsia="Yu Mincho" w:hAnsi="Tahoma" w:cs="Tahoma"/>
                <w:sz w:val="22"/>
                <w:szCs w:val="22"/>
              </w:rPr>
            </w:pPr>
          </w:p>
          <w:p w14:paraId="09BFC3E6" w14:textId="70341E9A"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NoSpacing"/>
              <w:jc w:val="both"/>
              <w:rPr>
                <w:rFonts w:ascii="Tahoma" w:hAnsi="Tahoma" w:cs="Tahoma"/>
                <w:b/>
                <w:bCs/>
                <w:iCs/>
                <w:sz w:val="22"/>
                <w:szCs w:val="22"/>
                <w:lang w:eastAsia="en-US"/>
              </w:rPr>
            </w:pPr>
          </w:p>
          <w:p w14:paraId="43108833" w14:textId="1EE0A5EE" w:rsidR="00826518" w:rsidRPr="00107863" w:rsidRDefault="00826518" w:rsidP="00826518">
            <w:pPr>
              <w:pStyle w:val="NoSpacing"/>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yperlink"/>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NoSpacing"/>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NoSpacing"/>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NoSpacing"/>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NoSpacing"/>
              <w:jc w:val="both"/>
              <w:rPr>
                <w:rFonts w:ascii="Tahoma" w:eastAsia="Yu Mincho" w:hAnsi="Tahoma" w:cs="Tahoma"/>
                <w:sz w:val="22"/>
                <w:szCs w:val="22"/>
              </w:rPr>
            </w:pPr>
          </w:p>
          <w:p w14:paraId="4D06A296" w14:textId="506FD825" w:rsidR="00826518" w:rsidRPr="00107863" w:rsidRDefault="00826518" w:rsidP="00826518">
            <w:pPr>
              <w:pStyle w:val="NoSpacing"/>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NoSpacing"/>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NoSpacing"/>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yperlink"/>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423B80">
      <w:footerReference w:type="default" r:id="rId20"/>
      <w:pgSz w:w="16838" w:h="11906" w:orient="landscape"/>
      <w:pgMar w:top="1440" w:right="144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3242" w14:textId="77777777" w:rsidR="00EC4DED" w:rsidRDefault="00EC4DED" w:rsidP="00B97C4F">
      <w:pPr>
        <w:spacing w:after="0" w:line="240" w:lineRule="auto"/>
      </w:pPr>
      <w:r>
        <w:separator/>
      </w:r>
    </w:p>
  </w:endnote>
  <w:endnote w:type="continuationSeparator" w:id="0">
    <w:p w14:paraId="410DC3FE" w14:textId="77777777" w:rsidR="00EC4DED" w:rsidRDefault="00EC4DED" w:rsidP="00B97C4F">
      <w:pPr>
        <w:spacing w:after="0" w:line="240" w:lineRule="auto"/>
      </w:pPr>
      <w:r>
        <w:continuationSeparator/>
      </w:r>
    </w:p>
  </w:endnote>
  <w:endnote w:type="continuationNotice" w:id="1">
    <w:p w14:paraId="4619BB4F" w14:textId="77777777" w:rsidR="00EC4DED" w:rsidRDefault="00EC4D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6EA5D" w14:textId="77777777" w:rsidR="00EC4DED" w:rsidRDefault="00EC4DED" w:rsidP="00B97C4F">
      <w:pPr>
        <w:spacing w:after="0" w:line="240" w:lineRule="auto"/>
      </w:pPr>
      <w:r>
        <w:separator/>
      </w:r>
    </w:p>
  </w:footnote>
  <w:footnote w:type="continuationSeparator" w:id="0">
    <w:p w14:paraId="284F0836" w14:textId="77777777" w:rsidR="00EC4DED" w:rsidRDefault="00EC4DED" w:rsidP="00B97C4F">
      <w:pPr>
        <w:spacing w:after="0" w:line="240" w:lineRule="auto"/>
      </w:pPr>
      <w:r>
        <w:continuationSeparator/>
      </w:r>
    </w:p>
  </w:footnote>
  <w:footnote w:type="continuationNotice" w:id="1">
    <w:p w14:paraId="038979C9" w14:textId="77777777" w:rsidR="00EC4DED" w:rsidRDefault="00EC4DED">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75986"/>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4418F"/>
    <w:rsid w:val="003613FA"/>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3B8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1D18"/>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938"/>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86446"/>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04D3"/>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3DE"/>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35D5C"/>
    <w:rsid w:val="00E42909"/>
    <w:rsid w:val="00E42E44"/>
    <w:rsid w:val="00E55A5B"/>
    <w:rsid w:val="00E56E70"/>
    <w:rsid w:val="00E64589"/>
    <w:rsid w:val="00E95848"/>
    <w:rsid w:val="00EA346F"/>
    <w:rsid w:val="00EA4F0D"/>
    <w:rsid w:val="00EB56B1"/>
    <w:rsid w:val="00EB7570"/>
    <w:rsid w:val="00EC2A36"/>
    <w:rsid w:val="00EC4DED"/>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7D74D9-814D-4929-9195-348D1A39E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14145</Words>
  <Characters>8063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Gabrienė</cp:lastModifiedBy>
  <cp:revision>5</cp:revision>
  <cp:lastPrinted>2022-12-15T10:27:00Z</cp:lastPrinted>
  <dcterms:created xsi:type="dcterms:W3CDTF">2026-01-21T14:28:00Z</dcterms:created>
  <dcterms:modified xsi:type="dcterms:W3CDTF">2026-04-30T12:06:00Z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